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7"/>
        <w:tblW w:w="89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10"/>
        <w:gridCol w:w="5926"/>
      </w:tblGrid>
      <w:tr w:rsidR="006F1880" w:rsidRPr="00C67E9B" w14:paraId="6F098D59" w14:textId="77777777" w:rsidTr="006F1880">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66C4E629" w14:textId="77777777" w:rsidR="006F1880" w:rsidRPr="00C67E9B" w:rsidRDefault="006F1880" w:rsidP="006F1880">
            <w:pPr>
              <w:jc w:val="both"/>
              <w:rPr>
                <w:b/>
              </w:rPr>
            </w:pPr>
            <w:r w:rsidRPr="00C67E9B">
              <w:rPr>
                <w:b/>
              </w:rPr>
              <w:t>Agency</w:t>
            </w:r>
          </w:p>
        </w:tc>
        <w:tc>
          <w:tcPr>
            <w:tcW w:w="5926" w:type="dxa"/>
            <w:tcBorders>
              <w:top w:val="single" w:sz="4" w:space="0" w:color="auto"/>
              <w:left w:val="single" w:sz="4" w:space="0" w:color="auto"/>
              <w:bottom w:val="single" w:sz="4" w:space="0" w:color="auto"/>
            </w:tcBorders>
            <w:vAlign w:val="center"/>
          </w:tcPr>
          <w:p w14:paraId="2ABEA696" w14:textId="3B834E0F" w:rsidR="006F1880" w:rsidRPr="00C67E9B" w:rsidRDefault="006F1880" w:rsidP="006F1880">
            <w:pPr>
              <w:jc w:val="both"/>
            </w:pPr>
            <w:r>
              <w:t>D</w:t>
            </w:r>
            <w:r w:rsidR="001C2716">
              <w:t>epartment of D</w:t>
            </w:r>
            <w:r>
              <w:t>efence</w:t>
            </w:r>
          </w:p>
        </w:tc>
      </w:tr>
      <w:tr w:rsidR="006F1880" w:rsidRPr="00C67E9B" w14:paraId="34CCD63A" w14:textId="77777777" w:rsidTr="006F1880">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5C808CC3" w14:textId="77777777" w:rsidR="006F1880" w:rsidRPr="00C67E9B" w:rsidRDefault="006F1880" w:rsidP="006F1880">
            <w:pPr>
              <w:jc w:val="both"/>
              <w:rPr>
                <w:b/>
              </w:rPr>
            </w:pPr>
            <w:r w:rsidRPr="00C67E9B">
              <w:rPr>
                <w:b/>
              </w:rPr>
              <w:t>Position number</w:t>
            </w:r>
          </w:p>
        </w:tc>
        <w:tc>
          <w:tcPr>
            <w:tcW w:w="5926" w:type="dxa"/>
            <w:tcBorders>
              <w:top w:val="single" w:sz="4" w:space="0" w:color="auto"/>
              <w:left w:val="single" w:sz="4" w:space="0" w:color="auto"/>
              <w:bottom w:val="single" w:sz="4" w:space="0" w:color="auto"/>
            </w:tcBorders>
            <w:vAlign w:val="center"/>
          </w:tcPr>
          <w:p w14:paraId="4AA4F160" w14:textId="77777777" w:rsidR="006F1880" w:rsidRPr="00C67E9B" w:rsidRDefault="006F1880" w:rsidP="006F1880">
            <w:pPr>
              <w:jc w:val="both"/>
            </w:pPr>
            <w:r>
              <w:t>11585</w:t>
            </w:r>
          </w:p>
        </w:tc>
      </w:tr>
      <w:tr w:rsidR="006F1880" w:rsidRPr="00C67E9B" w14:paraId="58617609" w14:textId="77777777" w:rsidTr="006F1880">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31434D8E" w14:textId="77777777" w:rsidR="006F1880" w:rsidRPr="00C67E9B" w:rsidRDefault="006F1880" w:rsidP="006F1880">
            <w:pPr>
              <w:jc w:val="both"/>
              <w:rPr>
                <w:b/>
              </w:rPr>
            </w:pPr>
            <w:r w:rsidRPr="00C67E9B">
              <w:rPr>
                <w:b/>
              </w:rPr>
              <w:t>Title</w:t>
            </w:r>
          </w:p>
        </w:tc>
        <w:tc>
          <w:tcPr>
            <w:tcW w:w="5926" w:type="dxa"/>
            <w:tcBorders>
              <w:top w:val="single" w:sz="4" w:space="0" w:color="auto"/>
              <w:left w:val="single" w:sz="4" w:space="0" w:color="auto"/>
              <w:bottom w:val="single" w:sz="4" w:space="0" w:color="auto"/>
            </w:tcBorders>
            <w:vAlign w:val="center"/>
          </w:tcPr>
          <w:p w14:paraId="7E031C4B" w14:textId="77777777" w:rsidR="006F1880" w:rsidRPr="00C67E9B" w:rsidRDefault="006F1880" w:rsidP="006F1880">
            <w:pPr>
              <w:jc w:val="both"/>
            </w:pPr>
            <w:r>
              <w:t>Defence Office Manager</w:t>
            </w:r>
          </w:p>
        </w:tc>
      </w:tr>
      <w:tr w:rsidR="006F1880" w:rsidRPr="00C67E9B" w14:paraId="109A2ECE" w14:textId="77777777" w:rsidTr="006F1880">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2DFA1CCC" w14:textId="77777777" w:rsidR="006F1880" w:rsidRPr="00C67E9B" w:rsidRDefault="006F1880" w:rsidP="006F1880">
            <w:pPr>
              <w:jc w:val="both"/>
              <w:rPr>
                <w:b/>
              </w:rPr>
            </w:pPr>
            <w:r w:rsidRPr="00C67E9B">
              <w:rPr>
                <w:b/>
              </w:rPr>
              <w:t>Classification</w:t>
            </w:r>
          </w:p>
        </w:tc>
        <w:tc>
          <w:tcPr>
            <w:tcW w:w="5926" w:type="dxa"/>
            <w:tcBorders>
              <w:top w:val="single" w:sz="4" w:space="0" w:color="auto"/>
              <w:left w:val="single" w:sz="4" w:space="0" w:color="auto"/>
              <w:bottom w:val="single" w:sz="4" w:space="0" w:color="auto"/>
            </w:tcBorders>
            <w:vAlign w:val="center"/>
          </w:tcPr>
          <w:p w14:paraId="6F2F9CAB" w14:textId="1B79DD4C" w:rsidR="006F1880" w:rsidRPr="00C67E9B" w:rsidRDefault="006F1880" w:rsidP="006F1880">
            <w:pPr>
              <w:jc w:val="both"/>
            </w:pPr>
            <w:r>
              <w:t>LE</w:t>
            </w:r>
            <w:r w:rsidR="00DC2A17">
              <w:t>4</w:t>
            </w:r>
          </w:p>
        </w:tc>
      </w:tr>
      <w:tr w:rsidR="006F1880" w:rsidRPr="00C67E9B" w14:paraId="5C0D8B38" w14:textId="77777777" w:rsidTr="006F1880">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060250DB" w14:textId="77777777" w:rsidR="006F1880" w:rsidRPr="00C67E9B" w:rsidRDefault="006F1880" w:rsidP="006F1880">
            <w:pPr>
              <w:jc w:val="both"/>
              <w:rPr>
                <w:b/>
              </w:rPr>
            </w:pPr>
            <w:r w:rsidRPr="00C67E9B">
              <w:rPr>
                <w:b/>
              </w:rPr>
              <w:t>Section</w:t>
            </w:r>
          </w:p>
        </w:tc>
        <w:tc>
          <w:tcPr>
            <w:tcW w:w="5926" w:type="dxa"/>
            <w:tcBorders>
              <w:top w:val="single" w:sz="4" w:space="0" w:color="auto"/>
              <w:left w:val="single" w:sz="4" w:space="0" w:color="auto"/>
              <w:bottom w:val="single" w:sz="4" w:space="0" w:color="auto"/>
            </w:tcBorders>
            <w:vAlign w:val="center"/>
          </w:tcPr>
          <w:p w14:paraId="21E4A7FE" w14:textId="77777777" w:rsidR="006F1880" w:rsidRPr="00C67E9B" w:rsidRDefault="006F1880" w:rsidP="006F1880">
            <w:pPr>
              <w:jc w:val="both"/>
            </w:pPr>
            <w:r>
              <w:t>Defence</w:t>
            </w:r>
          </w:p>
        </w:tc>
      </w:tr>
      <w:tr w:rsidR="006F1880" w:rsidRPr="00C67E9B" w14:paraId="4E7D7267" w14:textId="77777777" w:rsidTr="006F1880">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0EA2DC48" w14:textId="77777777" w:rsidR="006F1880" w:rsidRPr="00C67E9B" w:rsidRDefault="006F1880" w:rsidP="006F1880">
            <w:pPr>
              <w:jc w:val="both"/>
              <w:rPr>
                <w:b/>
              </w:rPr>
            </w:pPr>
            <w:r w:rsidRPr="00C67E9B">
              <w:rPr>
                <w:b/>
              </w:rPr>
              <w:t>Reports to (title)</w:t>
            </w:r>
          </w:p>
        </w:tc>
        <w:tc>
          <w:tcPr>
            <w:tcW w:w="5926" w:type="dxa"/>
            <w:tcBorders>
              <w:top w:val="single" w:sz="4" w:space="0" w:color="auto"/>
              <w:left w:val="single" w:sz="4" w:space="0" w:color="auto"/>
              <w:bottom w:val="single" w:sz="4" w:space="0" w:color="auto"/>
            </w:tcBorders>
            <w:vAlign w:val="center"/>
          </w:tcPr>
          <w:p w14:paraId="18E97014" w14:textId="2D2B5F8E" w:rsidR="006F1880" w:rsidRPr="00C67E9B" w:rsidRDefault="006F1880" w:rsidP="006F1880">
            <w:pPr>
              <w:jc w:val="both"/>
            </w:pPr>
            <w:r>
              <w:t>Defence Advisor South Pacific</w:t>
            </w:r>
          </w:p>
        </w:tc>
      </w:tr>
    </w:tbl>
    <w:p w14:paraId="3D9AA9AB" w14:textId="77777777" w:rsidR="004A34BC" w:rsidRPr="00C67E9B" w:rsidRDefault="004A34BC" w:rsidP="006F1880">
      <w:pPr>
        <w:jc w:val="both"/>
        <w:rPr>
          <w:b/>
        </w:rPr>
      </w:pPr>
    </w:p>
    <w:p w14:paraId="716BCD33" w14:textId="77777777" w:rsidR="00510483" w:rsidRPr="00C67E9B" w:rsidRDefault="00510483" w:rsidP="006F1880">
      <w:pPr>
        <w:keepNext/>
        <w:jc w:val="both"/>
        <w:rPr>
          <w:b/>
          <w:bCs/>
        </w:rPr>
      </w:pPr>
      <w:r w:rsidRPr="00C67E9B">
        <w:rPr>
          <w:b/>
          <w:bCs/>
        </w:rPr>
        <w:t xml:space="preserve">About the Department of </w:t>
      </w:r>
      <w:r w:rsidR="001557A3">
        <w:rPr>
          <w:b/>
          <w:bCs/>
        </w:rPr>
        <w:t>Defence</w:t>
      </w:r>
    </w:p>
    <w:p w14:paraId="177C3203" w14:textId="77777777" w:rsidR="001557A3" w:rsidRPr="0038241D" w:rsidRDefault="001557A3" w:rsidP="006F1880">
      <w:pPr>
        <w:jc w:val="both"/>
        <w:rPr>
          <w:lang w:val="en-US"/>
        </w:rPr>
      </w:pPr>
      <w:r w:rsidRPr="0038241D">
        <w:rPr>
          <w:lang w:val="en-US"/>
        </w:rPr>
        <w:t xml:space="preserve">The </w:t>
      </w:r>
      <w:r w:rsidR="00361BB3">
        <w:rPr>
          <w:lang w:val="en-US"/>
        </w:rPr>
        <w:t>A</w:t>
      </w:r>
      <w:r w:rsidR="003127A9">
        <w:rPr>
          <w:lang w:val="en-US"/>
        </w:rPr>
        <w:t xml:space="preserve">ustralian Department of Defence works </w:t>
      </w:r>
      <w:r w:rsidR="00677B75">
        <w:rPr>
          <w:lang w:val="en-US"/>
        </w:rPr>
        <w:t>as part of Australia’s Whole-of-Government effort to support the development of key aspects of Tonga to support a stable and secure region. The Australian Department of Defence works primarily with His Majesty’s Armed Forces of Tonga (HMAF) to assist with development of Tonga’s military capability but also works with other parts of the Tongan government where Defence assistance will be of benefit. The work completed under these arrangements is called the Defence Cooperation Program (DCP) and is funded by the Australian Government. The DCP in Tonga includes five Australian Defence Force Members (including the Defence Attaché) permanently posted to Tonga to support the program.</w:t>
      </w:r>
      <w:r w:rsidR="002916D0">
        <w:rPr>
          <w:lang w:val="en-US"/>
        </w:rPr>
        <w:t xml:space="preserve"> As the Defence Attaché is accredited to four countries the Defence Office Manager will provide support to ADF Staff in Samoa, Kiribati and Tuvalu in addition to Tonga. </w:t>
      </w:r>
    </w:p>
    <w:p w14:paraId="12976639" w14:textId="77777777" w:rsidR="00873F14" w:rsidRPr="00C67E9B" w:rsidRDefault="00873F14" w:rsidP="006F1880">
      <w:pPr>
        <w:jc w:val="both"/>
      </w:pPr>
    </w:p>
    <w:p w14:paraId="553956F9" w14:textId="77777777" w:rsidR="00873F14" w:rsidRPr="00A165C9" w:rsidRDefault="00873F14" w:rsidP="006F1880">
      <w:pPr>
        <w:pStyle w:val="Heading2"/>
        <w:spacing w:before="0" w:after="0"/>
        <w:jc w:val="both"/>
        <w:rPr>
          <w:rFonts w:ascii="Times New Roman" w:hAnsi="Times New Roman"/>
          <w:bCs w:val="0"/>
          <w:i w:val="0"/>
          <w:iCs w:val="0"/>
          <w:sz w:val="24"/>
          <w:szCs w:val="24"/>
          <w:lang w:val="en-AU"/>
        </w:rPr>
      </w:pPr>
      <w:r w:rsidRPr="00A165C9">
        <w:rPr>
          <w:rFonts w:ascii="Times New Roman" w:hAnsi="Times New Roman"/>
          <w:i w:val="0"/>
          <w:sz w:val="24"/>
          <w:szCs w:val="24"/>
          <w:lang w:val="en-AU"/>
        </w:rPr>
        <w:t>About the</w:t>
      </w:r>
      <w:r w:rsidRPr="00A165C9">
        <w:rPr>
          <w:rFonts w:ascii="Times New Roman" w:hAnsi="Times New Roman"/>
          <w:bCs w:val="0"/>
          <w:i w:val="0"/>
          <w:iCs w:val="0"/>
          <w:sz w:val="24"/>
          <w:szCs w:val="24"/>
          <w:lang w:val="en-AU"/>
        </w:rPr>
        <w:t xml:space="preserve"> position</w:t>
      </w:r>
    </w:p>
    <w:p w14:paraId="13CA6620" w14:textId="0CC6B373" w:rsidR="006F1880" w:rsidRDefault="008C1E3F" w:rsidP="006F1880">
      <w:pPr>
        <w:jc w:val="both"/>
      </w:pPr>
      <w:r>
        <w:t xml:space="preserve">Under </w:t>
      </w:r>
      <w:r w:rsidR="006F1880">
        <w:t xml:space="preserve">the general </w:t>
      </w:r>
      <w:r w:rsidR="00361BB3">
        <w:t xml:space="preserve">direction of </w:t>
      </w:r>
      <w:r>
        <w:t>t</w:t>
      </w:r>
      <w:r w:rsidR="00F34A58" w:rsidRPr="00F34A58">
        <w:t>he Defence</w:t>
      </w:r>
      <w:r w:rsidR="00677B75">
        <w:t xml:space="preserve"> Attaché</w:t>
      </w:r>
      <w:r w:rsidR="00361BB3">
        <w:t>, the Defence Office Manager</w:t>
      </w:r>
      <w:r w:rsidR="00F34A58" w:rsidRPr="00F34A58">
        <w:t xml:space="preserve"> provides</w:t>
      </w:r>
      <w:r w:rsidR="00A165C9" w:rsidRPr="00A165C9">
        <w:t xml:space="preserve"> financial, administrative</w:t>
      </w:r>
      <w:r w:rsidR="006F1880">
        <w:t>, human resources</w:t>
      </w:r>
      <w:r w:rsidR="00A165C9" w:rsidRPr="00A165C9">
        <w:t xml:space="preserve"> and office management support to</w:t>
      </w:r>
      <w:r w:rsidR="005C7604">
        <w:t xml:space="preserve"> </w:t>
      </w:r>
      <w:r w:rsidR="00A165C9" w:rsidRPr="00A165C9">
        <w:t>Defence staff</w:t>
      </w:r>
      <w:r w:rsidR="006F1880">
        <w:t xml:space="preserve">.  The Office Manager supervises one locally engaged staff </w:t>
      </w:r>
      <w:r w:rsidR="006A76A5">
        <w:t xml:space="preserve">(LES) </w:t>
      </w:r>
      <w:r w:rsidR="006F1880">
        <w:t xml:space="preserve">member, and frequently liaises with a range of internal and external stakeholders at a range of meetings, conferences and seminars.  </w:t>
      </w:r>
      <w:r w:rsidR="00A61EF9">
        <w:t>At times, t</w:t>
      </w:r>
      <w:r w:rsidR="006F1880">
        <w:t>his position may be required to work outside of standard working hours.</w:t>
      </w:r>
    </w:p>
    <w:p w14:paraId="1D7A8DB8" w14:textId="77777777" w:rsidR="00361BB3" w:rsidRPr="006A4B57" w:rsidRDefault="00361BB3" w:rsidP="006F1880">
      <w:pPr>
        <w:jc w:val="both"/>
        <w:rPr>
          <w:b/>
          <w:bCs/>
        </w:rPr>
      </w:pPr>
    </w:p>
    <w:p w14:paraId="47D1A30B" w14:textId="5C2C54BB" w:rsidR="00361BB3" w:rsidRPr="006F1880" w:rsidRDefault="00361BB3" w:rsidP="006F1880">
      <w:pPr>
        <w:jc w:val="both"/>
        <w:rPr>
          <w:b/>
        </w:rPr>
      </w:pPr>
      <w:r w:rsidRPr="006F1880">
        <w:rPr>
          <w:b/>
        </w:rPr>
        <w:t xml:space="preserve">The key responsibilities </w:t>
      </w:r>
      <w:r w:rsidR="006F1880" w:rsidRPr="006F1880">
        <w:rPr>
          <w:b/>
        </w:rPr>
        <w:t>of</w:t>
      </w:r>
      <w:r w:rsidRPr="006F1880">
        <w:rPr>
          <w:b/>
        </w:rPr>
        <w:t xml:space="preserve"> th</w:t>
      </w:r>
      <w:r w:rsidR="006F1880" w:rsidRPr="006F1880">
        <w:rPr>
          <w:b/>
        </w:rPr>
        <w:t>e</w:t>
      </w:r>
      <w:r w:rsidRPr="006F1880">
        <w:rPr>
          <w:b/>
        </w:rPr>
        <w:t xml:space="preserve"> position include, but are not limited to:</w:t>
      </w:r>
    </w:p>
    <w:p w14:paraId="5068BF14" w14:textId="6BE8F325" w:rsidR="0062463F" w:rsidRPr="006A76A5" w:rsidRDefault="006A76A5" w:rsidP="006A76A5">
      <w:pPr>
        <w:pStyle w:val="ListParagraph"/>
        <w:numPr>
          <w:ilvl w:val="0"/>
          <w:numId w:val="24"/>
        </w:numPr>
        <w:contextualSpacing/>
        <w:jc w:val="both"/>
        <w:rPr>
          <w:b/>
        </w:rPr>
      </w:pPr>
      <w:r>
        <w:t>Coordinate and oversee the general administration of the Defence office, in</w:t>
      </w:r>
      <w:r w:rsidR="00DC2A17">
        <w:t>cluding the provision of financial</w:t>
      </w:r>
      <w:r>
        <w:t>, human resources, property and protocol services</w:t>
      </w:r>
    </w:p>
    <w:p w14:paraId="5D773EA7" w14:textId="390017FB" w:rsidR="006A76A5" w:rsidRDefault="006A76A5" w:rsidP="006A76A5">
      <w:pPr>
        <w:pStyle w:val="ListParagraph"/>
        <w:numPr>
          <w:ilvl w:val="0"/>
          <w:numId w:val="24"/>
        </w:numPr>
        <w:contextualSpacing/>
        <w:jc w:val="both"/>
      </w:pPr>
      <w:r>
        <w:t>Provide executive, administrative and organisational support to the Defence Advisor and other Defence staff, including diary management</w:t>
      </w:r>
      <w:r w:rsidR="00323A77">
        <w:t>, liaison with stakeholders</w:t>
      </w:r>
      <w:r w:rsidR="000F3FDC">
        <w:t xml:space="preserve"> and coordinating official engagements</w:t>
      </w:r>
    </w:p>
    <w:p w14:paraId="4451BD5B" w14:textId="77777777" w:rsidR="006A76A5" w:rsidRDefault="006A76A5" w:rsidP="006A76A5">
      <w:pPr>
        <w:pStyle w:val="ListParagraph"/>
        <w:numPr>
          <w:ilvl w:val="0"/>
          <w:numId w:val="24"/>
        </w:numPr>
        <w:contextualSpacing/>
        <w:jc w:val="both"/>
      </w:pPr>
      <w:r>
        <w:t>Supervise the work of the Defence Clerk including delegation of tasks and managing workload to achieve tasks with available resources</w:t>
      </w:r>
    </w:p>
    <w:p w14:paraId="0EDA2706" w14:textId="77777777" w:rsidR="006A76A5" w:rsidRDefault="006A76A5" w:rsidP="006A76A5">
      <w:pPr>
        <w:pStyle w:val="ListParagraph"/>
        <w:numPr>
          <w:ilvl w:val="0"/>
          <w:numId w:val="24"/>
        </w:numPr>
        <w:contextualSpacing/>
        <w:jc w:val="both"/>
      </w:pPr>
      <w:r>
        <w:t xml:space="preserve">Coordinate all aspects of </w:t>
      </w:r>
      <w:r w:rsidR="007629EB">
        <w:t xml:space="preserve">official </w:t>
      </w:r>
      <w:r>
        <w:t>visits, including all logistical arrangement</w:t>
      </w:r>
      <w:r w:rsidR="00195D90">
        <w:t>s</w:t>
      </w:r>
      <w:r>
        <w:t xml:space="preserve"> and program preparation</w:t>
      </w:r>
      <w:r w:rsidR="00195D90">
        <w:t>, and provide support for visiting Australian Defence personnel</w:t>
      </w:r>
    </w:p>
    <w:p w14:paraId="6217D849" w14:textId="119DA0D1" w:rsidR="007629EB" w:rsidRDefault="007629EB" w:rsidP="007629EB">
      <w:pPr>
        <w:pStyle w:val="ListParagraph"/>
        <w:numPr>
          <w:ilvl w:val="0"/>
          <w:numId w:val="24"/>
        </w:numPr>
        <w:contextualSpacing/>
        <w:jc w:val="both"/>
      </w:pPr>
      <w:r>
        <w:t>Assist with the preparation and coordination of all official functions and events</w:t>
      </w:r>
    </w:p>
    <w:p w14:paraId="1368349D" w14:textId="41D1ED74" w:rsidR="0076778A" w:rsidRPr="00F34A58" w:rsidRDefault="0076778A" w:rsidP="0076778A">
      <w:pPr>
        <w:pStyle w:val="ListParagraph"/>
        <w:numPr>
          <w:ilvl w:val="0"/>
          <w:numId w:val="24"/>
        </w:numPr>
        <w:contextualSpacing/>
        <w:jc w:val="both"/>
      </w:pPr>
      <w:r>
        <w:t>Arrange</w:t>
      </w:r>
      <w:r w:rsidRPr="00F34A58">
        <w:t xml:space="preserve"> </w:t>
      </w:r>
      <w:r>
        <w:t>t</w:t>
      </w:r>
      <w:r w:rsidRPr="00F34A58">
        <w:t>ravel for</w:t>
      </w:r>
      <w:r>
        <w:t xml:space="preserve"> internal and external stakeholders, including</w:t>
      </w:r>
      <w:r w:rsidRPr="00F34A58">
        <w:t xml:space="preserve"> Australian Defence Members </w:t>
      </w:r>
      <w:r>
        <w:t>and Tongan Government officials</w:t>
      </w:r>
      <w:r w:rsidR="00DC2A17">
        <w:t>,</w:t>
      </w:r>
      <w:r>
        <w:t xml:space="preserve"> including the calculation of entitlements</w:t>
      </w:r>
    </w:p>
    <w:p w14:paraId="3B399E81" w14:textId="6870B15C" w:rsidR="0076778A" w:rsidRPr="001C2716" w:rsidRDefault="00183958" w:rsidP="0076778A">
      <w:pPr>
        <w:pStyle w:val="ListParagraph"/>
        <w:numPr>
          <w:ilvl w:val="0"/>
          <w:numId w:val="24"/>
        </w:numPr>
        <w:contextualSpacing/>
        <w:jc w:val="both"/>
        <w:rPr>
          <w:b/>
        </w:rPr>
      </w:pPr>
      <w:r>
        <w:t xml:space="preserve">Undertake financial tasks, </w:t>
      </w:r>
      <w:r w:rsidR="0076778A">
        <w:t xml:space="preserve"> monitor the office budget, </w:t>
      </w:r>
      <w:r w:rsidR="00DC2A17">
        <w:t>review</w:t>
      </w:r>
      <w:r w:rsidR="0076778A">
        <w:t xml:space="preserve"> expenditure, prepare financial </w:t>
      </w:r>
      <w:r w:rsidR="005D0EBD">
        <w:t>reports/</w:t>
      </w:r>
      <w:r w:rsidR="0076778A">
        <w:t xml:space="preserve">estimates, </w:t>
      </w:r>
      <w:r w:rsidR="00DC2A17">
        <w:t>draft</w:t>
      </w:r>
      <w:r w:rsidR="0076778A">
        <w:t xml:space="preserve"> Fraud Assessment Risks and </w:t>
      </w:r>
      <w:r w:rsidR="005D0EBD">
        <w:t>report</w:t>
      </w:r>
      <w:r w:rsidR="0076778A">
        <w:t xml:space="preserve"> on budget issues</w:t>
      </w:r>
    </w:p>
    <w:p w14:paraId="075A79B1" w14:textId="15B7FDBB" w:rsidR="001C2716" w:rsidRPr="001C2716" w:rsidRDefault="001C2716" w:rsidP="001C2716">
      <w:pPr>
        <w:pStyle w:val="ListParagraph"/>
        <w:numPr>
          <w:ilvl w:val="0"/>
          <w:numId w:val="24"/>
        </w:numPr>
        <w:contextualSpacing/>
        <w:jc w:val="both"/>
        <w:rPr>
          <w:b/>
        </w:rPr>
      </w:pPr>
      <w:r>
        <w:t>Prepare accounts for payment processing, u</w:t>
      </w:r>
      <w:r w:rsidR="00183958">
        <w:t xml:space="preserve">ndertake procurement duties, </w:t>
      </w:r>
      <w:r>
        <w:t xml:space="preserve">complete asset stocktakes </w:t>
      </w:r>
      <w:r w:rsidR="00183958">
        <w:t>and prepare the in-country Business Plan between financial years</w:t>
      </w:r>
    </w:p>
    <w:p w14:paraId="47D150D2" w14:textId="7D951C87" w:rsidR="006A76A5" w:rsidRDefault="006A76A5" w:rsidP="006A76A5">
      <w:pPr>
        <w:pStyle w:val="ListParagraph"/>
        <w:numPr>
          <w:ilvl w:val="0"/>
          <w:numId w:val="24"/>
        </w:numPr>
        <w:contextualSpacing/>
        <w:jc w:val="both"/>
      </w:pPr>
      <w:r>
        <w:t xml:space="preserve">Prepare a range of correspondence </w:t>
      </w:r>
      <w:r w:rsidRPr="00F34A58">
        <w:t xml:space="preserve">including </w:t>
      </w:r>
      <w:r>
        <w:t xml:space="preserve">briefings, </w:t>
      </w:r>
      <w:r w:rsidRPr="00F34A58">
        <w:t xml:space="preserve">Third Person Notes, </w:t>
      </w:r>
      <w:r w:rsidR="00DC2A17">
        <w:t xml:space="preserve"> minute</w:t>
      </w:r>
      <w:r>
        <w:t>s, letters and policy documents</w:t>
      </w:r>
      <w:r w:rsidR="001C2716">
        <w:t>, and maintain electronic databases including contact lists</w:t>
      </w:r>
    </w:p>
    <w:p w14:paraId="225B835B" w14:textId="77777777" w:rsidR="0062463F" w:rsidRPr="00F34A58" w:rsidRDefault="0062463F" w:rsidP="006F1880">
      <w:pPr>
        <w:pStyle w:val="ListParagraph"/>
        <w:numPr>
          <w:ilvl w:val="0"/>
          <w:numId w:val="24"/>
        </w:numPr>
        <w:contextualSpacing/>
        <w:jc w:val="both"/>
      </w:pPr>
      <w:r>
        <w:t>Prepare w</w:t>
      </w:r>
      <w:r w:rsidRPr="00F34A58">
        <w:t xml:space="preserve">ork entry visas </w:t>
      </w:r>
      <w:r>
        <w:t xml:space="preserve">applications and </w:t>
      </w:r>
      <w:r w:rsidRPr="00F34A58">
        <w:t xml:space="preserve">driver’s licences </w:t>
      </w:r>
      <w:r w:rsidR="006F1880">
        <w:t>documentation for Defence staff</w:t>
      </w:r>
    </w:p>
    <w:p w14:paraId="694E2462" w14:textId="15613CE5" w:rsidR="003127A9" w:rsidRDefault="0062463F" w:rsidP="001C2716">
      <w:pPr>
        <w:pStyle w:val="ListParagraph"/>
        <w:numPr>
          <w:ilvl w:val="0"/>
          <w:numId w:val="24"/>
        </w:numPr>
        <w:contextualSpacing/>
        <w:jc w:val="both"/>
        <w:rPr>
          <w:b/>
        </w:rPr>
      </w:pPr>
      <w:r w:rsidRPr="00F34A58">
        <w:t xml:space="preserve">Manage </w:t>
      </w:r>
      <w:r>
        <w:t xml:space="preserve">the </w:t>
      </w:r>
      <w:r w:rsidRPr="00F34A58">
        <w:t>administration</w:t>
      </w:r>
      <w:r>
        <w:t xml:space="preserve"> of Defence personnel (</w:t>
      </w:r>
      <w:r w:rsidR="006A76A5">
        <w:t xml:space="preserve">both </w:t>
      </w:r>
      <w:r>
        <w:t>A-b</w:t>
      </w:r>
      <w:r w:rsidRPr="00F34A58">
        <w:t>ased and LE</w:t>
      </w:r>
      <w:r w:rsidR="006A76A5">
        <w:t>S</w:t>
      </w:r>
      <w:r>
        <w:t>)</w:t>
      </w:r>
      <w:r w:rsidRPr="00F34A58">
        <w:t xml:space="preserve">, </w:t>
      </w:r>
      <w:r>
        <w:t xml:space="preserve">provide guidance </w:t>
      </w:r>
      <w:r w:rsidRPr="00F34A58">
        <w:t xml:space="preserve">on </w:t>
      </w:r>
      <w:r>
        <w:t>h</w:t>
      </w:r>
      <w:r w:rsidRPr="00F34A58">
        <w:t xml:space="preserve">uman </w:t>
      </w:r>
      <w:r>
        <w:t>r</w:t>
      </w:r>
      <w:r w:rsidRPr="00F34A58">
        <w:t>esource issues</w:t>
      </w:r>
      <w:r w:rsidR="0076778A">
        <w:t>, r</w:t>
      </w:r>
      <w:r w:rsidR="00A61EF9">
        <w:t>ecord LES leave balances and process salary payments for domestic staff</w:t>
      </w:r>
    </w:p>
    <w:p w14:paraId="618E7203" w14:textId="6418BE76" w:rsidR="00361BB3" w:rsidRPr="00062A57" w:rsidRDefault="0062463F" w:rsidP="006F1880">
      <w:pPr>
        <w:pStyle w:val="ListParagraph"/>
        <w:numPr>
          <w:ilvl w:val="0"/>
          <w:numId w:val="24"/>
        </w:numPr>
        <w:contextualSpacing/>
        <w:jc w:val="both"/>
      </w:pPr>
      <w:r w:rsidRPr="00062A57">
        <w:lastRenderedPageBreak/>
        <w:t>Assist</w:t>
      </w:r>
      <w:r w:rsidR="00361BB3" w:rsidRPr="00062A57">
        <w:t xml:space="preserve"> with the organisation and supervision of repairs and/or replacement of fittings, fixtures and asset</w:t>
      </w:r>
      <w:r w:rsidR="006F1880">
        <w:t>s within the Defence residences</w:t>
      </w:r>
    </w:p>
    <w:p w14:paraId="3D568BB5" w14:textId="7A69FA57" w:rsidR="00361BB3" w:rsidRDefault="00361BB3" w:rsidP="000F3FDC">
      <w:pPr>
        <w:pStyle w:val="ListParagraph"/>
        <w:numPr>
          <w:ilvl w:val="0"/>
          <w:numId w:val="24"/>
        </w:numPr>
        <w:contextualSpacing/>
        <w:jc w:val="both"/>
      </w:pPr>
      <w:r>
        <w:t>Assist with routine security and maintenanc</w:t>
      </w:r>
      <w:r w:rsidR="006F1880">
        <w:t>e inspections</w:t>
      </w:r>
      <w:r w:rsidR="00195D90">
        <w:t>, and routine</w:t>
      </w:r>
      <w:r w:rsidR="001C2716">
        <w:t xml:space="preserve"> asset</w:t>
      </w:r>
      <w:r w:rsidR="00195D90">
        <w:t xml:space="preserve"> musters at Defence </w:t>
      </w:r>
      <w:r w:rsidR="006F1880">
        <w:t>properties</w:t>
      </w:r>
    </w:p>
    <w:p w14:paraId="3C3A627D" w14:textId="77777777" w:rsidR="00A61EF9" w:rsidRDefault="00361BB3" w:rsidP="006F1880">
      <w:pPr>
        <w:pStyle w:val="ListParagraph"/>
        <w:numPr>
          <w:ilvl w:val="0"/>
          <w:numId w:val="24"/>
        </w:numPr>
        <w:contextualSpacing/>
        <w:jc w:val="both"/>
      </w:pPr>
      <w:r w:rsidRPr="00062A57">
        <w:t>Prepare</w:t>
      </w:r>
      <w:r w:rsidR="00195D90">
        <w:t xml:space="preserve"> and collect</w:t>
      </w:r>
      <w:r w:rsidRPr="00062A57">
        <w:t xml:space="preserve"> all Defence vehicle log books</w:t>
      </w:r>
      <w:r w:rsidR="00195D90">
        <w:t>, organise annual vehicle inspections and registrations, and book and facilitate routing vehicle servicing</w:t>
      </w:r>
    </w:p>
    <w:p w14:paraId="31862053" w14:textId="0CF1A400" w:rsidR="006F1880" w:rsidRDefault="00A61EF9" w:rsidP="00221471">
      <w:pPr>
        <w:pStyle w:val="ListParagraph"/>
        <w:numPr>
          <w:ilvl w:val="0"/>
          <w:numId w:val="24"/>
        </w:numPr>
        <w:contextualSpacing/>
        <w:jc w:val="both"/>
        <w:rPr>
          <w:b/>
          <w:bCs/>
        </w:rPr>
      </w:pPr>
      <w:r w:rsidRPr="00A60077">
        <w:t>Driv</w:t>
      </w:r>
      <w:r>
        <w:t>e</w:t>
      </w:r>
      <w:r w:rsidRPr="00A60077">
        <w:t xml:space="preserve"> </w:t>
      </w:r>
      <w:r>
        <w:t>official government</w:t>
      </w:r>
      <w:r w:rsidRPr="00A60077">
        <w:t xml:space="preserve"> vehicles when required for official duties</w:t>
      </w:r>
    </w:p>
    <w:p w14:paraId="28E62474" w14:textId="59D0F0DD" w:rsidR="00A165C9" w:rsidRPr="0076778A" w:rsidRDefault="00361BB3" w:rsidP="0076778A">
      <w:pPr>
        <w:pStyle w:val="ListParagraph"/>
        <w:numPr>
          <w:ilvl w:val="0"/>
          <w:numId w:val="24"/>
        </w:numPr>
        <w:contextualSpacing/>
        <w:jc w:val="both"/>
        <w:rPr>
          <w:b/>
        </w:rPr>
      </w:pPr>
      <w:bookmarkStart w:id="0" w:name="_GoBack"/>
      <w:bookmarkEnd w:id="0"/>
      <w:r w:rsidRPr="00A60077">
        <w:t xml:space="preserve">Deliver documents to </w:t>
      </w:r>
      <w:r>
        <w:t>Customs and the Port Authority</w:t>
      </w:r>
      <w:r w:rsidR="001C2716">
        <w:t xml:space="preserve">, and </w:t>
      </w:r>
      <w:r w:rsidR="00062A57">
        <w:t>process diplomatic clearance</w:t>
      </w:r>
      <w:r w:rsidR="00A33071">
        <w:t>s</w:t>
      </w:r>
      <w:r w:rsidR="00062A57">
        <w:t xml:space="preserve"> </w:t>
      </w:r>
      <w:r w:rsidR="003127A9">
        <w:t xml:space="preserve">through the Ministry of Foreign Affairs </w:t>
      </w:r>
      <w:r w:rsidR="00062A57">
        <w:t xml:space="preserve">for </w:t>
      </w:r>
      <w:r w:rsidR="003127A9">
        <w:t>visits by</w:t>
      </w:r>
      <w:r w:rsidR="006F1880">
        <w:t xml:space="preserve"> </w:t>
      </w:r>
      <w:r w:rsidR="00A33071">
        <w:t xml:space="preserve">Defence </w:t>
      </w:r>
      <w:r w:rsidR="006F1880">
        <w:t>aircraft and vessels</w:t>
      </w:r>
    </w:p>
    <w:p w14:paraId="48AF0D9A" w14:textId="77777777" w:rsidR="006F1880" w:rsidRDefault="006F1880" w:rsidP="006F1880">
      <w:pPr>
        <w:contextualSpacing/>
        <w:jc w:val="both"/>
        <w:rPr>
          <w:b/>
          <w:color w:val="000000" w:themeColor="text1"/>
        </w:rPr>
      </w:pPr>
    </w:p>
    <w:p w14:paraId="7EA9BBC3" w14:textId="77777777" w:rsidR="00711EFC" w:rsidRPr="006A4B57" w:rsidRDefault="00711EFC" w:rsidP="006F1880">
      <w:pPr>
        <w:contextualSpacing/>
        <w:jc w:val="both"/>
        <w:rPr>
          <w:b/>
          <w:color w:val="000000" w:themeColor="text1"/>
        </w:rPr>
      </w:pPr>
      <w:r w:rsidRPr="006A4B57">
        <w:rPr>
          <w:b/>
          <w:color w:val="000000" w:themeColor="text1"/>
        </w:rPr>
        <w:t>Qualifications/Experience</w:t>
      </w:r>
    </w:p>
    <w:p w14:paraId="50951A7B" w14:textId="5973ED84" w:rsidR="00A61EF9" w:rsidRPr="00F34A58" w:rsidRDefault="00A61EF9" w:rsidP="00A61EF9">
      <w:pPr>
        <w:pStyle w:val="ListParagraph"/>
        <w:numPr>
          <w:ilvl w:val="0"/>
          <w:numId w:val="24"/>
        </w:numPr>
        <w:contextualSpacing/>
        <w:jc w:val="both"/>
      </w:pPr>
      <w:r w:rsidRPr="00F34A58">
        <w:t>Demonstrated professional/technical qualifications, knowledge or experience in accounting</w:t>
      </w:r>
      <w:r>
        <w:t>, office management or</w:t>
      </w:r>
      <w:r w:rsidR="005D0EBD">
        <w:t xml:space="preserve"> a</w:t>
      </w:r>
      <w:r>
        <w:t xml:space="preserve"> related area</w:t>
      </w:r>
    </w:p>
    <w:p w14:paraId="0325B73B" w14:textId="77777777" w:rsidR="00A61EF9" w:rsidRDefault="00A61EF9" w:rsidP="00A61EF9">
      <w:pPr>
        <w:pStyle w:val="ListParagraph"/>
        <w:numPr>
          <w:ilvl w:val="0"/>
          <w:numId w:val="24"/>
        </w:numPr>
        <w:contextualSpacing/>
        <w:jc w:val="both"/>
      </w:pPr>
      <w:r>
        <w:t>Strong executive support and administration skills and experience</w:t>
      </w:r>
    </w:p>
    <w:p w14:paraId="58F2FE0A" w14:textId="14B9FBAB" w:rsidR="00C4246D" w:rsidRDefault="00C4246D" w:rsidP="006F1880">
      <w:pPr>
        <w:pStyle w:val="ListParagraph"/>
        <w:numPr>
          <w:ilvl w:val="0"/>
          <w:numId w:val="24"/>
        </w:numPr>
        <w:contextualSpacing/>
        <w:jc w:val="both"/>
      </w:pPr>
      <w:r>
        <w:t xml:space="preserve">Excellent written and oral </w:t>
      </w:r>
      <w:r w:rsidR="00A61EF9">
        <w:t xml:space="preserve">communication skills </w:t>
      </w:r>
      <w:r>
        <w:t>in English and Tongan</w:t>
      </w:r>
    </w:p>
    <w:p w14:paraId="7D08BAE5" w14:textId="3DF8952E" w:rsidR="00A61EF9" w:rsidRPr="00A61EF9" w:rsidRDefault="00A61EF9" w:rsidP="00A61EF9">
      <w:pPr>
        <w:pStyle w:val="ListParagraph"/>
        <w:numPr>
          <w:ilvl w:val="0"/>
          <w:numId w:val="24"/>
        </w:numPr>
        <w:contextualSpacing/>
        <w:jc w:val="both"/>
        <w:rPr>
          <w:lang w:val="en-US"/>
        </w:rPr>
      </w:pPr>
      <w:r w:rsidRPr="00A61EF9">
        <w:rPr>
          <w:lang w:val="en-US"/>
        </w:rPr>
        <w:t>Proficiency in Microsoft Office software applications</w:t>
      </w:r>
    </w:p>
    <w:p w14:paraId="52F6DE4C" w14:textId="77777777" w:rsidR="00A61EF9" w:rsidRDefault="00A61EF9" w:rsidP="00A61EF9">
      <w:pPr>
        <w:pStyle w:val="ListParagraph"/>
        <w:numPr>
          <w:ilvl w:val="0"/>
          <w:numId w:val="24"/>
        </w:numPr>
        <w:contextualSpacing/>
        <w:jc w:val="both"/>
      </w:pPr>
      <w:r>
        <w:t>A current Drivers Licence, and the ability to maintain a clean driving record</w:t>
      </w:r>
    </w:p>
    <w:p w14:paraId="63BAF43B" w14:textId="77777777" w:rsidR="00A61EF9" w:rsidRDefault="00A61EF9" w:rsidP="0076778A"/>
    <w:p w14:paraId="1638677C" w14:textId="77777777" w:rsidR="00A61EF9" w:rsidRPr="0076778A" w:rsidRDefault="00A61EF9" w:rsidP="0076778A">
      <w:pPr>
        <w:rPr>
          <w:b/>
        </w:rPr>
      </w:pPr>
      <w:r>
        <w:rPr>
          <w:b/>
        </w:rPr>
        <w:t>Selection Criteria</w:t>
      </w:r>
    </w:p>
    <w:p w14:paraId="7A07B73D" w14:textId="77777777" w:rsidR="00F34A58" w:rsidRPr="00A61EF9" w:rsidRDefault="00F34A58" w:rsidP="001C2716">
      <w:pPr>
        <w:pStyle w:val="ListParagraph"/>
        <w:numPr>
          <w:ilvl w:val="0"/>
          <w:numId w:val="24"/>
        </w:numPr>
        <w:contextualSpacing/>
        <w:jc w:val="both"/>
        <w:rPr>
          <w:lang w:val="en-US"/>
        </w:rPr>
      </w:pPr>
      <w:r w:rsidRPr="00A61EF9">
        <w:rPr>
          <w:lang w:val="en-US"/>
        </w:rPr>
        <w:t>Superior presentation</w:t>
      </w:r>
      <w:r w:rsidR="007629EB" w:rsidRPr="00A61EF9">
        <w:rPr>
          <w:lang w:val="en-US"/>
        </w:rPr>
        <w:t xml:space="preserve"> skills and attention to detail</w:t>
      </w:r>
    </w:p>
    <w:p w14:paraId="150D8584" w14:textId="24CB3F7F" w:rsidR="003021EC" w:rsidRPr="003021EC" w:rsidRDefault="003021EC" w:rsidP="006F1880">
      <w:pPr>
        <w:pStyle w:val="ListParagraph"/>
        <w:numPr>
          <w:ilvl w:val="0"/>
          <w:numId w:val="24"/>
        </w:numPr>
        <w:contextualSpacing/>
        <w:jc w:val="both"/>
      </w:pPr>
      <w:r w:rsidRPr="003021EC">
        <w:rPr>
          <w:lang w:val="en-US"/>
        </w:rPr>
        <w:t>Well-developed liaison and negotiation skills</w:t>
      </w:r>
      <w:r w:rsidR="00A61EF9">
        <w:rPr>
          <w:lang w:val="en-US"/>
        </w:rPr>
        <w:t>,</w:t>
      </w:r>
      <w:r w:rsidRPr="003021EC">
        <w:rPr>
          <w:lang w:val="en-US"/>
        </w:rPr>
        <w:t xml:space="preserve"> and the ability to establish and maintain productive working relatio</w:t>
      </w:r>
      <w:r w:rsidR="007629EB">
        <w:rPr>
          <w:lang w:val="en-US"/>
        </w:rPr>
        <w:t>nships</w:t>
      </w:r>
    </w:p>
    <w:p w14:paraId="42C7D139" w14:textId="77777777" w:rsidR="00D46CD0" w:rsidRDefault="00B55C4E" w:rsidP="006F1880">
      <w:pPr>
        <w:pStyle w:val="ListParagraph"/>
        <w:numPr>
          <w:ilvl w:val="0"/>
          <w:numId w:val="24"/>
        </w:numPr>
        <w:contextualSpacing/>
        <w:jc w:val="both"/>
      </w:pPr>
      <w:r>
        <w:t xml:space="preserve">Strong organisational skills, ability to handle </w:t>
      </w:r>
      <w:r w:rsidR="00F36D5F">
        <w:t xml:space="preserve">and prioritise </w:t>
      </w:r>
      <w:r>
        <w:t>multiple tasks</w:t>
      </w:r>
      <w:r w:rsidR="00F36D5F">
        <w:t xml:space="preserve"> whilst maintaining</w:t>
      </w:r>
      <w:r w:rsidR="007629EB">
        <w:t xml:space="preserve"> attention to detail</w:t>
      </w:r>
    </w:p>
    <w:p w14:paraId="06B2615C" w14:textId="77777777" w:rsidR="00F36D5F" w:rsidRDefault="00F36D5F" w:rsidP="006F1880">
      <w:pPr>
        <w:pStyle w:val="ListParagraph"/>
        <w:numPr>
          <w:ilvl w:val="0"/>
          <w:numId w:val="24"/>
        </w:numPr>
        <w:contextualSpacing/>
        <w:jc w:val="both"/>
      </w:pPr>
      <w:r>
        <w:t>Demonstrated ability to w</w:t>
      </w:r>
      <w:r w:rsidR="007629EB">
        <w:t>ork as a member of a small team</w:t>
      </w:r>
    </w:p>
    <w:p w14:paraId="044DBE3F" w14:textId="77777777" w:rsidR="007245AC" w:rsidRDefault="007245AC" w:rsidP="006F1880">
      <w:pPr>
        <w:contextualSpacing/>
        <w:jc w:val="both"/>
      </w:pPr>
    </w:p>
    <w:p w14:paraId="358836BA" w14:textId="77777777" w:rsidR="007245AC" w:rsidRPr="007245AC" w:rsidRDefault="007245AC" w:rsidP="006F1880">
      <w:pPr>
        <w:contextualSpacing/>
        <w:jc w:val="both"/>
        <w:rPr>
          <w:b/>
        </w:rPr>
      </w:pPr>
      <w:r w:rsidRPr="007245AC">
        <w:rPr>
          <w:b/>
        </w:rPr>
        <w:t>Additional Requirement</w:t>
      </w:r>
    </w:p>
    <w:p w14:paraId="45A84E1E" w14:textId="244F9FF7" w:rsidR="00B10676" w:rsidRDefault="007245AC" w:rsidP="006F1880">
      <w:pPr>
        <w:pStyle w:val="ListParagraph"/>
        <w:numPr>
          <w:ilvl w:val="0"/>
          <w:numId w:val="47"/>
        </w:numPr>
        <w:contextualSpacing/>
        <w:jc w:val="both"/>
      </w:pPr>
      <w:r>
        <w:t xml:space="preserve">Must be available </w:t>
      </w:r>
      <w:r w:rsidR="006A371E">
        <w:t xml:space="preserve">from </w:t>
      </w:r>
      <w:r>
        <w:t>19</w:t>
      </w:r>
      <w:r w:rsidR="006A371E">
        <w:t xml:space="preserve"> to </w:t>
      </w:r>
      <w:r>
        <w:t xml:space="preserve">26 October 2019 to attend a training course in Australia </w:t>
      </w:r>
    </w:p>
    <w:sectPr w:rsidR="00B10676" w:rsidSect="001C2716">
      <w:headerReference w:type="first" r:id="rId7"/>
      <w:pgSz w:w="11906" w:h="16838"/>
      <w:pgMar w:top="1228"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3F0F" w14:textId="77777777" w:rsidR="0082777B" w:rsidRDefault="0082777B" w:rsidP="00FA0720">
      <w:r>
        <w:separator/>
      </w:r>
    </w:p>
  </w:endnote>
  <w:endnote w:type="continuationSeparator" w:id="0">
    <w:p w14:paraId="2C483A81" w14:textId="77777777" w:rsidR="0082777B" w:rsidRDefault="0082777B" w:rsidP="00FA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5426" w14:textId="77777777" w:rsidR="0082777B" w:rsidRDefault="0082777B" w:rsidP="00FA0720">
      <w:r>
        <w:separator/>
      </w:r>
    </w:p>
  </w:footnote>
  <w:footnote w:type="continuationSeparator" w:id="0">
    <w:p w14:paraId="73F44929" w14:textId="77777777" w:rsidR="0082777B" w:rsidRDefault="0082777B" w:rsidP="00FA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8FB9" w14:textId="77777777" w:rsidR="006F1880" w:rsidRPr="00AA5247" w:rsidRDefault="006F1880" w:rsidP="006F1880">
    <w:pPr>
      <w:pStyle w:val="Header"/>
      <w:jc w:val="center"/>
      <w:rPr>
        <w:b/>
        <w:sz w:val="28"/>
        <w:szCs w:val="28"/>
      </w:rPr>
    </w:pPr>
    <w:r>
      <w:rPr>
        <w:b/>
        <w:sz w:val="28"/>
        <w:szCs w:val="28"/>
      </w:rPr>
      <w:t>Defence Office Manager –</w:t>
    </w:r>
    <w:r w:rsidRPr="00AA5247">
      <w:rPr>
        <w:b/>
        <w:sz w:val="28"/>
        <w:szCs w:val="28"/>
      </w:rPr>
      <w:t xml:space="preserve"> </w:t>
    </w:r>
    <w:r>
      <w:rPr>
        <w:b/>
        <w:sz w:val="28"/>
        <w:szCs w:val="28"/>
      </w:rPr>
      <w:t>Nuku’alofa</w:t>
    </w:r>
    <w:r w:rsidRPr="00AA5247">
      <w:rPr>
        <w:b/>
        <w:sz w:val="28"/>
        <w:szCs w:val="28"/>
      </w:rPr>
      <w:t xml:space="preserve"> </w:t>
    </w:r>
    <w:r>
      <w:rPr>
        <w:b/>
        <w:sz w:val="28"/>
        <w:szCs w:val="28"/>
      </w:rPr>
      <w:t>– August 2019</w:t>
    </w:r>
  </w:p>
  <w:p w14:paraId="57B25A23" w14:textId="77777777" w:rsidR="006F1880" w:rsidRDefault="006F1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E82A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460E7"/>
    <w:multiLevelType w:val="hybridMultilevel"/>
    <w:tmpl w:val="A8BCE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8F288F"/>
    <w:multiLevelType w:val="hybridMultilevel"/>
    <w:tmpl w:val="5FDE4F7A"/>
    <w:lvl w:ilvl="0" w:tplc="0BCCDAC0">
      <w:start w:val="1"/>
      <w:numFmt w:val="bullet"/>
      <w:lvlText w:val=""/>
      <w:lvlJc w:val="left"/>
      <w:pPr>
        <w:ind w:left="645" w:hanging="360"/>
      </w:pPr>
      <w:rPr>
        <w:rFonts w:ascii="Symbol" w:hAnsi="Symbol" w:hint="default"/>
        <w:sz w:val="16"/>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4" w15:restartNumberingAfterBreak="0">
    <w:nsid w:val="047473F0"/>
    <w:multiLevelType w:val="hybridMultilevel"/>
    <w:tmpl w:val="0ABE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4422BE"/>
    <w:multiLevelType w:val="hybridMultilevel"/>
    <w:tmpl w:val="78A4C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AB63E2"/>
    <w:multiLevelType w:val="hybridMultilevel"/>
    <w:tmpl w:val="1F3A7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3036C8"/>
    <w:multiLevelType w:val="hybridMultilevel"/>
    <w:tmpl w:val="888C0158"/>
    <w:lvl w:ilvl="0" w:tplc="0C090001">
      <w:start w:val="1"/>
      <w:numFmt w:val="bullet"/>
      <w:lvlText w:val=""/>
      <w:lvlJc w:val="left"/>
      <w:pPr>
        <w:ind w:left="1080" w:hanging="72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FE462DD"/>
    <w:multiLevelType w:val="hybridMultilevel"/>
    <w:tmpl w:val="23A4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15AA5"/>
    <w:multiLevelType w:val="hybridMultilevel"/>
    <w:tmpl w:val="D3B091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DA78D2"/>
    <w:multiLevelType w:val="hybridMultilevel"/>
    <w:tmpl w:val="BE2C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04211B"/>
    <w:multiLevelType w:val="hybridMultilevel"/>
    <w:tmpl w:val="9D2C1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7D3A73"/>
    <w:multiLevelType w:val="hybridMultilevel"/>
    <w:tmpl w:val="FC46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92E5D"/>
    <w:multiLevelType w:val="hybridMultilevel"/>
    <w:tmpl w:val="C7E0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C93C33"/>
    <w:multiLevelType w:val="hybridMultilevel"/>
    <w:tmpl w:val="6C30C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A91F32"/>
    <w:multiLevelType w:val="hybridMultilevel"/>
    <w:tmpl w:val="FA96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B25655"/>
    <w:multiLevelType w:val="hybridMultilevel"/>
    <w:tmpl w:val="63760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8B1044"/>
    <w:multiLevelType w:val="hybridMultilevel"/>
    <w:tmpl w:val="5AD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24CD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6704E8E"/>
    <w:multiLevelType w:val="hybridMultilevel"/>
    <w:tmpl w:val="A712D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820DE1"/>
    <w:multiLevelType w:val="hybridMultilevel"/>
    <w:tmpl w:val="471C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6407F7"/>
    <w:multiLevelType w:val="hybridMultilevel"/>
    <w:tmpl w:val="EF88BD84"/>
    <w:lvl w:ilvl="0" w:tplc="0C090001">
      <w:start w:val="1"/>
      <w:numFmt w:val="bullet"/>
      <w:lvlText w:val=""/>
      <w:lvlJc w:val="left"/>
      <w:pPr>
        <w:ind w:left="720" w:hanging="360"/>
      </w:pPr>
      <w:rPr>
        <w:rFonts w:ascii="Symbol" w:hAnsi="Symbol" w:hint="default"/>
      </w:rPr>
    </w:lvl>
    <w:lvl w:ilvl="1" w:tplc="22183D90">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E1D4D43"/>
    <w:multiLevelType w:val="hybridMultilevel"/>
    <w:tmpl w:val="837C9376"/>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4" w15:restartNumberingAfterBreak="0">
    <w:nsid w:val="335631D9"/>
    <w:multiLevelType w:val="hybridMultilevel"/>
    <w:tmpl w:val="06A2D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9D71E1"/>
    <w:multiLevelType w:val="hybridMultilevel"/>
    <w:tmpl w:val="C30C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E33A7E"/>
    <w:multiLevelType w:val="hybridMultilevel"/>
    <w:tmpl w:val="8A60F074"/>
    <w:lvl w:ilvl="0" w:tplc="57DABAA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A64D0"/>
    <w:multiLevelType w:val="hybridMultilevel"/>
    <w:tmpl w:val="998C2D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176EF7"/>
    <w:multiLevelType w:val="hybridMultilevel"/>
    <w:tmpl w:val="9AFC4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806F8B"/>
    <w:multiLevelType w:val="hybridMultilevel"/>
    <w:tmpl w:val="0A745372"/>
    <w:lvl w:ilvl="0" w:tplc="CA40952C">
      <w:numFmt w:val="bullet"/>
      <w:lvlText w:val="-"/>
      <w:lvlJc w:val="left"/>
      <w:pPr>
        <w:ind w:left="930" w:hanging="360"/>
      </w:pPr>
      <w:rPr>
        <w:rFonts w:ascii="Times New Roman" w:eastAsia="Times New Roman" w:hAnsi="Times New Roman"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0"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36664A3"/>
    <w:multiLevelType w:val="hybridMultilevel"/>
    <w:tmpl w:val="916C4A70"/>
    <w:lvl w:ilvl="0" w:tplc="CA40952C">
      <w:numFmt w:val="bullet"/>
      <w:lvlText w:val="-"/>
      <w:lvlJc w:val="left"/>
      <w:pPr>
        <w:ind w:left="645" w:hanging="360"/>
      </w:pPr>
      <w:rPr>
        <w:rFonts w:ascii="Times New Roman" w:eastAsia="Times New Roman" w:hAnsi="Times New Roman" w:cs="Times New Roman"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32" w15:restartNumberingAfterBreak="0">
    <w:nsid w:val="45C83BAA"/>
    <w:multiLevelType w:val="hybridMultilevel"/>
    <w:tmpl w:val="47EA5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903C27"/>
    <w:multiLevelType w:val="hybridMultilevel"/>
    <w:tmpl w:val="BB3EC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223979"/>
    <w:multiLevelType w:val="hybridMultilevel"/>
    <w:tmpl w:val="30B631C4"/>
    <w:lvl w:ilvl="0" w:tplc="CA40952C">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9A6FF3"/>
    <w:multiLevelType w:val="hybridMultilevel"/>
    <w:tmpl w:val="172A0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17E7C"/>
    <w:multiLevelType w:val="hybridMultilevel"/>
    <w:tmpl w:val="591263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BE4B35"/>
    <w:multiLevelType w:val="hybridMultilevel"/>
    <w:tmpl w:val="DD74265A"/>
    <w:lvl w:ilvl="0" w:tplc="0C090001">
      <w:start w:val="1"/>
      <w:numFmt w:val="bullet"/>
      <w:lvlText w:val=""/>
      <w:lvlJc w:val="left"/>
      <w:pPr>
        <w:ind w:left="645" w:hanging="360"/>
      </w:pPr>
      <w:rPr>
        <w:rFonts w:ascii="Symbol" w:hAnsi="Symbol" w:hint="default"/>
        <w:sz w:val="16"/>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38" w15:restartNumberingAfterBreak="0">
    <w:nsid w:val="5CDD4E10"/>
    <w:multiLevelType w:val="hybridMultilevel"/>
    <w:tmpl w:val="96360C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979C2"/>
    <w:multiLevelType w:val="hybridMultilevel"/>
    <w:tmpl w:val="9276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054473"/>
    <w:multiLevelType w:val="hybridMultilevel"/>
    <w:tmpl w:val="72C44CE8"/>
    <w:lvl w:ilvl="0" w:tplc="FE521ACE">
      <w:start w:val="1"/>
      <w:numFmt w:val="decimal"/>
      <w:lvlText w:val="%1."/>
      <w:lvlJc w:val="left"/>
      <w:pPr>
        <w:ind w:left="1440"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41" w15:restartNumberingAfterBreak="0">
    <w:nsid w:val="7309715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2"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E0B59"/>
    <w:multiLevelType w:val="hybridMultilevel"/>
    <w:tmpl w:val="15A47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AA6C30"/>
    <w:multiLevelType w:val="hybridMultilevel"/>
    <w:tmpl w:val="7E04D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22"/>
  </w:num>
  <w:num w:numId="4">
    <w:abstractNumId w:val="21"/>
  </w:num>
  <w:num w:numId="5">
    <w:abstractNumId w:val="42"/>
  </w:num>
  <w:num w:numId="6">
    <w:abstractNumId w:val="23"/>
  </w:num>
  <w:num w:numId="7">
    <w:abstractNumId w:val="1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1"/>
  </w:num>
  <w:num w:numId="10">
    <w:abstractNumId w:val="32"/>
  </w:num>
  <w:num w:numId="11">
    <w:abstractNumId w:val="5"/>
  </w:num>
  <w:num w:numId="12">
    <w:abstractNumId w:val="4"/>
  </w:num>
  <w:num w:numId="13">
    <w:abstractNumId w:val="35"/>
  </w:num>
  <w:num w:numId="14">
    <w:abstractNumId w:val="31"/>
  </w:num>
  <w:num w:numId="15">
    <w:abstractNumId w:val="3"/>
  </w:num>
  <w:num w:numId="16">
    <w:abstractNumId w:val="37"/>
  </w:num>
  <w:num w:numId="17">
    <w:abstractNumId w:val="34"/>
  </w:num>
  <w:num w:numId="18">
    <w:abstractNumId w:val="29"/>
  </w:num>
  <w:num w:numId="19">
    <w:abstractNumId w:val="10"/>
  </w:num>
  <w:num w:numId="20">
    <w:abstractNumId w:val="33"/>
  </w:num>
  <w:num w:numId="21">
    <w:abstractNumId w:val="9"/>
  </w:num>
  <w:num w:numId="22">
    <w:abstractNumId w:val="30"/>
  </w:num>
  <w:num w:numId="23">
    <w:abstractNumId w:val="11"/>
  </w:num>
  <w:num w:numId="24">
    <w:abstractNumId w:val="36"/>
  </w:num>
  <w:num w:numId="25">
    <w:abstractNumId w:val="13"/>
  </w:num>
  <w:num w:numId="26">
    <w:abstractNumId w:val="14"/>
  </w:num>
  <w:num w:numId="27">
    <w:abstractNumId w:val="0"/>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14"/>
  </w:num>
  <w:num w:numId="32">
    <w:abstractNumId w:val="44"/>
  </w:num>
  <w:num w:numId="33">
    <w:abstractNumId w:val="20"/>
  </w:num>
  <w:num w:numId="34">
    <w:abstractNumId w:val="28"/>
  </w:num>
  <w:num w:numId="35">
    <w:abstractNumId w:val="6"/>
  </w:num>
  <w:num w:numId="36">
    <w:abstractNumId w:val="17"/>
  </w:num>
  <w:num w:numId="37">
    <w:abstractNumId w:val="43"/>
  </w:num>
  <w:num w:numId="38">
    <w:abstractNumId w:val="16"/>
  </w:num>
  <w:num w:numId="39">
    <w:abstractNumId w:val="12"/>
  </w:num>
  <w:num w:numId="40">
    <w:abstractNumId w:val="27"/>
  </w:num>
  <w:num w:numId="41">
    <w:abstractNumId w:val="2"/>
  </w:num>
  <w:num w:numId="42">
    <w:abstractNumId w:val="26"/>
  </w:num>
  <w:num w:numId="43">
    <w:abstractNumId w:val="38"/>
  </w:num>
  <w:num w:numId="44">
    <w:abstractNumId w:val="18"/>
  </w:num>
  <w:num w:numId="45">
    <w:abstractNumId w:val="39"/>
  </w:num>
  <w:num w:numId="46">
    <w:abstractNumId w:val="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BC"/>
    <w:rsid w:val="00022090"/>
    <w:rsid w:val="00031749"/>
    <w:rsid w:val="00050F9D"/>
    <w:rsid w:val="000525E6"/>
    <w:rsid w:val="000552F4"/>
    <w:rsid w:val="00062A57"/>
    <w:rsid w:val="00090902"/>
    <w:rsid w:val="00096725"/>
    <w:rsid w:val="000A0A69"/>
    <w:rsid w:val="000A2188"/>
    <w:rsid w:val="000A69B1"/>
    <w:rsid w:val="000D574A"/>
    <w:rsid w:val="000E07E5"/>
    <w:rsid w:val="000E1518"/>
    <w:rsid w:val="000F3FDC"/>
    <w:rsid w:val="0010008B"/>
    <w:rsid w:val="00107E49"/>
    <w:rsid w:val="001458C5"/>
    <w:rsid w:val="001557A3"/>
    <w:rsid w:val="00166439"/>
    <w:rsid w:val="00183958"/>
    <w:rsid w:val="00195D90"/>
    <w:rsid w:val="001B2910"/>
    <w:rsid w:val="001B57C8"/>
    <w:rsid w:val="001C2716"/>
    <w:rsid w:val="001C618F"/>
    <w:rsid w:val="001E072E"/>
    <w:rsid w:val="001E20DD"/>
    <w:rsid w:val="002018C0"/>
    <w:rsid w:val="0021210D"/>
    <w:rsid w:val="002140E8"/>
    <w:rsid w:val="00221471"/>
    <w:rsid w:val="00222C00"/>
    <w:rsid w:val="00244C8B"/>
    <w:rsid w:val="00261593"/>
    <w:rsid w:val="002916D0"/>
    <w:rsid w:val="00291B58"/>
    <w:rsid w:val="002C3A8D"/>
    <w:rsid w:val="002E30B8"/>
    <w:rsid w:val="002F1484"/>
    <w:rsid w:val="003021EC"/>
    <w:rsid w:val="003077F3"/>
    <w:rsid w:val="003127A9"/>
    <w:rsid w:val="00323A77"/>
    <w:rsid w:val="003325D0"/>
    <w:rsid w:val="003479A0"/>
    <w:rsid w:val="00355B90"/>
    <w:rsid w:val="00361BB3"/>
    <w:rsid w:val="00363544"/>
    <w:rsid w:val="00367E9E"/>
    <w:rsid w:val="0037406D"/>
    <w:rsid w:val="00381798"/>
    <w:rsid w:val="00382912"/>
    <w:rsid w:val="003A1F1E"/>
    <w:rsid w:val="003B2073"/>
    <w:rsid w:val="003C39FE"/>
    <w:rsid w:val="003E1B2F"/>
    <w:rsid w:val="003E1D73"/>
    <w:rsid w:val="00416847"/>
    <w:rsid w:val="00434409"/>
    <w:rsid w:val="004642A2"/>
    <w:rsid w:val="004774D0"/>
    <w:rsid w:val="004A34BC"/>
    <w:rsid w:val="004B40A6"/>
    <w:rsid w:val="004B6C29"/>
    <w:rsid w:val="004C5F85"/>
    <w:rsid w:val="004D1843"/>
    <w:rsid w:val="00510483"/>
    <w:rsid w:val="00524121"/>
    <w:rsid w:val="00586AF7"/>
    <w:rsid w:val="00594E1B"/>
    <w:rsid w:val="005A0E48"/>
    <w:rsid w:val="005C5015"/>
    <w:rsid w:val="005C7604"/>
    <w:rsid w:val="005D0EBD"/>
    <w:rsid w:val="005E397E"/>
    <w:rsid w:val="005F3F12"/>
    <w:rsid w:val="006237CC"/>
    <w:rsid w:val="0062463F"/>
    <w:rsid w:val="00636C48"/>
    <w:rsid w:val="00640260"/>
    <w:rsid w:val="0064374D"/>
    <w:rsid w:val="00645403"/>
    <w:rsid w:val="00650D44"/>
    <w:rsid w:val="00652A91"/>
    <w:rsid w:val="00655180"/>
    <w:rsid w:val="006615CD"/>
    <w:rsid w:val="00661D0B"/>
    <w:rsid w:val="00677595"/>
    <w:rsid w:val="00677B75"/>
    <w:rsid w:val="00685DDD"/>
    <w:rsid w:val="006908F8"/>
    <w:rsid w:val="006A23E9"/>
    <w:rsid w:val="006A371E"/>
    <w:rsid w:val="006A4B57"/>
    <w:rsid w:val="006A76A5"/>
    <w:rsid w:val="006C1BCD"/>
    <w:rsid w:val="006C2343"/>
    <w:rsid w:val="006C310A"/>
    <w:rsid w:val="006E5731"/>
    <w:rsid w:val="006F1880"/>
    <w:rsid w:val="00705E6E"/>
    <w:rsid w:val="00707664"/>
    <w:rsid w:val="00711EFC"/>
    <w:rsid w:val="007245AC"/>
    <w:rsid w:val="007629EB"/>
    <w:rsid w:val="00762F71"/>
    <w:rsid w:val="0076778A"/>
    <w:rsid w:val="00771E96"/>
    <w:rsid w:val="0078308A"/>
    <w:rsid w:val="00787F31"/>
    <w:rsid w:val="007E6E39"/>
    <w:rsid w:val="007F3F07"/>
    <w:rsid w:val="008274C8"/>
    <w:rsid w:val="0082777B"/>
    <w:rsid w:val="00845E75"/>
    <w:rsid w:val="008534E0"/>
    <w:rsid w:val="008548A2"/>
    <w:rsid w:val="00873F14"/>
    <w:rsid w:val="008742AC"/>
    <w:rsid w:val="00880985"/>
    <w:rsid w:val="008948F2"/>
    <w:rsid w:val="008975FE"/>
    <w:rsid w:val="008C1E3F"/>
    <w:rsid w:val="008D168E"/>
    <w:rsid w:val="008E7655"/>
    <w:rsid w:val="008F0D02"/>
    <w:rsid w:val="0090195C"/>
    <w:rsid w:val="00903140"/>
    <w:rsid w:val="00910BB6"/>
    <w:rsid w:val="009418B8"/>
    <w:rsid w:val="00946359"/>
    <w:rsid w:val="009545ED"/>
    <w:rsid w:val="00956656"/>
    <w:rsid w:val="00973C75"/>
    <w:rsid w:val="009B0CA8"/>
    <w:rsid w:val="009B3287"/>
    <w:rsid w:val="009C1E18"/>
    <w:rsid w:val="009D29F6"/>
    <w:rsid w:val="009E0245"/>
    <w:rsid w:val="009E1E9D"/>
    <w:rsid w:val="00A165C9"/>
    <w:rsid w:val="00A25C0F"/>
    <w:rsid w:val="00A33071"/>
    <w:rsid w:val="00A5221A"/>
    <w:rsid w:val="00A56E25"/>
    <w:rsid w:val="00A61EF9"/>
    <w:rsid w:val="00A622D7"/>
    <w:rsid w:val="00A62432"/>
    <w:rsid w:val="00A747D9"/>
    <w:rsid w:val="00A85A23"/>
    <w:rsid w:val="00A8697C"/>
    <w:rsid w:val="00A87ED0"/>
    <w:rsid w:val="00A964B3"/>
    <w:rsid w:val="00AA2A2F"/>
    <w:rsid w:val="00AA2AA2"/>
    <w:rsid w:val="00AA5247"/>
    <w:rsid w:val="00AB268D"/>
    <w:rsid w:val="00AC2E18"/>
    <w:rsid w:val="00AC5301"/>
    <w:rsid w:val="00AE3700"/>
    <w:rsid w:val="00AF4CE4"/>
    <w:rsid w:val="00B01439"/>
    <w:rsid w:val="00B02654"/>
    <w:rsid w:val="00B10676"/>
    <w:rsid w:val="00B12205"/>
    <w:rsid w:val="00B2019C"/>
    <w:rsid w:val="00B24177"/>
    <w:rsid w:val="00B24587"/>
    <w:rsid w:val="00B33316"/>
    <w:rsid w:val="00B41323"/>
    <w:rsid w:val="00B50920"/>
    <w:rsid w:val="00B55C4E"/>
    <w:rsid w:val="00B64706"/>
    <w:rsid w:val="00BD073F"/>
    <w:rsid w:val="00BE2057"/>
    <w:rsid w:val="00C04154"/>
    <w:rsid w:val="00C349F8"/>
    <w:rsid w:val="00C4246D"/>
    <w:rsid w:val="00C456D1"/>
    <w:rsid w:val="00C67E9B"/>
    <w:rsid w:val="00C957BF"/>
    <w:rsid w:val="00CA09D0"/>
    <w:rsid w:val="00CD08F3"/>
    <w:rsid w:val="00CE4044"/>
    <w:rsid w:val="00CF5331"/>
    <w:rsid w:val="00CF5EBC"/>
    <w:rsid w:val="00D153CD"/>
    <w:rsid w:val="00D33B96"/>
    <w:rsid w:val="00D46CD0"/>
    <w:rsid w:val="00D767E1"/>
    <w:rsid w:val="00DC2A17"/>
    <w:rsid w:val="00DE1481"/>
    <w:rsid w:val="00E04507"/>
    <w:rsid w:val="00E23E1B"/>
    <w:rsid w:val="00E249F7"/>
    <w:rsid w:val="00E40FE0"/>
    <w:rsid w:val="00E44C0A"/>
    <w:rsid w:val="00E67AD8"/>
    <w:rsid w:val="00EA3316"/>
    <w:rsid w:val="00EB2BAA"/>
    <w:rsid w:val="00EB7B7C"/>
    <w:rsid w:val="00EC2C28"/>
    <w:rsid w:val="00EC714F"/>
    <w:rsid w:val="00EE1AEA"/>
    <w:rsid w:val="00F173B7"/>
    <w:rsid w:val="00F2005A"/>
    <w:rsid w:val="00F31FB1"/>
    <w:rsid w:val="00F34A58"/>
    <w:rsid w:val="00F364AF"/>
    <w:rsid w:val="00F36D5F"/>
    <w:rsid w:val="00F567BF"/>
    <w:rsid w:val="00F60276"/>
    <w:rsid w:val="00F734CE"/>
    <w:rsid w:val="00F83947"/>
    <w:rsid w:val="00FA0720"/>
    <w:rsid w:val="00FF0181"/>
    <w:rsid w:val="00FF37EB"/>
    <w:rsid w:val="00FF6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59EAA2"/>
  <w15:docId w15:val="{C987353C-124E-4BE0-B333-08D9D895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BC"/>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A34BC"/>
    <w:pPr>
      <w:keepNext/>
      <w:spacing w:before="240" w:after="60"/>
      <w:outlineLvl w:val="1"/>
    </w:pPr>
    <w:rPr>
      <w:rFonts w:ascii="Arial"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4BC"/>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4A34BC"/>
    <w:pPr>
      <w:ind w:left="720"/>
    </w:pPr>
  </w:style>
  <w:style w:type="paragraph" w:styleId="Header">
    <w:name w:val="header"/>
    <w:basedOn w:val="Normal"/>
    <w:link w:val="HeaderChar"/>
    <w:uiPriority w:val="99"/>
    <w:unhideWhenUsed/>
    <w:rsid w:val="00FA0720"/>
    <w:pPr>
      <w:tabs>
        <w:tab w:val="center" w:pos="4513"/>
        <w:tab w:val="right" w:pos="9026"/>
      </w:tabs>
    </w:pPr>
  </w:style>
  <w:style w:type="character" w:customStyle="1" w:styleId="HeaderChar">
    <w:name w:val="Header Char"/>
    <w:basedOn w:val="DefaultParagraphFont"/>
    <w:link w:val="Header"/>
    <w:uiPriority w:val="99"/>
    <w:rsid w:val="00FA072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A0720"/>
    <w:pPr>
      <w:tabs>
        <w:tab w:val="center" w:pos="4513"/>
        <w:tab w:val="right" w:pos="9026"/>
      </w:tabs>
    </w:pPr>
  </w:style>
  <w:style w:type="character" w:customStyle="1" w:styleId="FooterChar">
    <w:name w:val="Footer Char"/>
    <w:basedOn w:val="DefaultParagraphFont"/>
    <w:link w:val="Footer"/>
    <w:uiPriority w:val="99"/>
    <w:rsid w:val="00FA0720"/>
    <w:rPr>
      <w:rFonts w:ascii="Times New Roman" w:eastAsia="Times New Roman" w:hAnsi="Times New Roman" w:cs="Times New Roman"/>
      <w:sz w:val="24"/>
      <w:szCs w:val="24"/>
      <w:lang w:eastAsia="en-AU"/>
    </w:rPr>
  </w:style>
  <w:style w:type="paragraph" w:styleId="ListBullet">
    <w:name w:val="List Bullet"/>
    <w:basedOn w:val="Normal"/>
    <w:rsid w:val="00EC714F"/>
    <w:pPr>
      <w:numPr>
        <w:numId w:val="27"/>
      </w:numPr>
    </w:pPr>
    <w:rPr>
      <w:lang w:val="en-US" w:eastAsia="en-US"/>
    </w:rPr>
  </w:style>
  <w:style w:type="paragraph" w:styleId="BodyText">
    <w:name w:val="Body Text"/>
    <w:basedOn w:val="Normal"/>
    <w:link w:val="BodyTextChar"/>
    <w:rsid w:val="00F34A58"/>
    <w:rPr>
      <w:rFonts w:ascii="Arial" w:hAnsi="Arial"/>
      <w:bCs/>
      <w:sz w:val="28"/>
      <w:szCs w:val="28"/>
      <w:lang w:val="x-none"/>
    </w:rPr>
  </w:style>
  <w:style w:type="character" w:customStyle="1" w:styleId="BodyTextChar">
    <w:name w:val="Body Text Char"/>
    <w:basedOn w:val="DefaultParagraphFont"/>
    <w:link w:val="BodyText"/>
    <w:rsid w:val="00F34A58"/>
    <w:rPr>
      <w:rFonts w:ascii="Arial" w:eastAsia="Times New Roman" w:hAnsi="Arial" w:cs="Times New Roman"/>
      <w:bCs/>
      <w:sz w:val="28"/>
      <w:szCs w:val="28"/>
      <w:lang w:val="x-none" w:eastAsia="en-AU"/>
    </w:rPr>
  </w:style>
  <w:style w:type="paragraph" w:styleId="BalloonText">
    <w:name w:val="Balloon Text"/>
    <w:basedOn w:val="Normal"/>
    <w:link w:val="BalloonTextChar"/>
    <w:uiPriority w:val="99"/>
    <w:semiHidden/>
    <w:unhideWhenUsed/>
    <w:rsid w:val="003E1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73"/>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6A76A5"/>
    <w:rPr>
      <w:sz w:val="16"/>
      <w:szCs w:val="16"/>
    </w:rPr>
  </w:style>
  <w:style w:type="paragraph" w:styleId="CommentText">
    <w:name w:val="annotation text"/>
    <w:basedOn w:val="Normal"/>
    <w:link w:val="CommentTextChar"/>
    <w:uiPriority w:val="99"/>
    <w:semiHidden/>
    <w:unhideWhenUsed/>
    <w:rsid w:val="006A76A5"/>
    <w:rPr>
      <w:sz w:val="20"/>
      <w:szCs w:val="20"/>
    </w:rPr>
  </w:style>
  <w:style w:type="character" w:customStyle="1" w:styleId="CommentTextChar">
    <w:name w:val="Comment Text Char"/>
    <w:basedOn w:val="DefaultParagraphFont"/>
    <w:link w:val="CommentText"/>
    <w:uiPriority w:val="99"/>
    <w:semiHidden/>
    <w:rsid w:val="006A76A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A76A5"/>
    <w:rPr>
      <w:b/>
      <w:bCs/>
    </w:rPr>
  </w:style>
  <w:style w:type="character" w:customStyle="1" w:styleId="CommentSubjectChar">
    <w:name w:val="Comment Subject Char"/>
    <w:basedOn w:val="CommentTextChar"/>
    <w:link w:val="CommentSubject"/>
    <w:uiPriority w:val="99"/>
    <w:semiHidden/>
    <w:rsid w:val="006A76A5"/>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8016">
      <w:bodyDiv w:val="1"/>
      <w:marLeft w:val="0"/>
      <w:marRight w:val="0"/>
      <w:marTop w:val="0"/>
      <w:marBottom w:val="0"/>
      <w:divBdr>
        <w:top w:val="none" w:sz="0" w:space="0" w:color="auto"/>
        <w:left w:val="none" w:sz="0" w:space="0" w:color="auto"/>
        <w:bottom w:val="none" w:sz="0" w:space="0" w:color="auto"/>
        <w:right w:val="none" w:sz="0" w:space="0" w:color="auto"/>
      </w:divBdr>
    </w:div>
    <w:div w:id="311984127">
      <w:bodyDiv w:val="1"/>
      <w:marLeft w:val="0"/>
      <w:marRight w:val="0"/>
      <w:marTop w:val="0"/>
      <w:marBottom w:val="0"/>
      <w:divBdr>
        <w:top w:val="none" w:sz="0" w:space="0" w:color="auto"/>
        <w:left w:val="none" w:sz="0" w:space="0" w:color="auto"/>
        <w:bottom w:val="none" w:sz="0" w:space="0" w:color="auto"/>
        <w:right w:val="none" w:sz="0" w:space="0" w:color="auto"/>
      </w:divBdr>
    </w:div>
    <w:div w:id="789586444">
      <w:bodyDiv w:val="1"/>
      <w:marLeft w:val="0"/>
      <w:marRight w:val="0"/>
      <w:marTop w:val="0"/>
      <w:marBottom w:val="0"/>
      <w:divBdr>
        <w:top w:val="none" w:sz="0" w:space="0" w:color="auto"/>
        <w:left w:val="none" w:sz="0" w:space="0" w:color="auto"/>
        <w:bottom w:val="none" w:sz="0" w:space="0" w:color="auto"/>
        <w:right w:val="none" w:sz="0" w:space="0" w:color="auto"/>
      </w:divBdr>
    </w:div>
    <w:div w:id="1197890861">
      <w:bodyDiv w:val="1"/>
      <w:marLeft w:val="0"/>
      <w:marRight w:val="0"/>
      <w:marTop w:val="0"/>
      <w:marBottom w:val="0"/>
      <w:divBdr>
        <w:top w:val="none" w:sz="0" w:space="0" w:color="auto"/>
        <w:left w:val="none" w:sz="0" w:space="0" w:color="auto"/>
        <w:bottom w:val="none" w:sz="0" w:space="0" w:color="auto"/>
        <w:right w:val="none" w:sz="0" w:space="0" w:color="auto"/>
      </w:divBdr>
    </w:div>
    <w:div w:id="1468010297">
      <w:bodyDiv w:val="1"/>
      <w:marLeft w:val="0"/>
      <w:marRight w:val="0"/>
      <w:marTop w:val="0"/>
      <w:marBottom w:val="0"/>
      <w:divBdr>
        <w:top w:val="none" w:sz="0" w:space="0" w:color="auto"/>
        <w:left w:val="none" w:sz="0" w:space="0" w:color="auto"/>
        <w:bottom w:val="none" w:sz="0" w:space="0" w:color="auto"/>
        <w:right w:val="none" w:sz="0" w:space="0" w:color="auto"/>
      </w:divBdr>
    </w:div>
    <w:div w:id="1660692661">
      <w:bodyDiv w:val="1"/>
      <w:marLeft w:val="0"/>
      <w:marRight w:val="0"/>
      <w:marTop w:val="0"/>
      <w:marBottom w:val="0"/>
      <w:divBdr>
        <w:top w:val="none" w:sz="0" w:space="0" w:color="auto"/>
        <w:left w:val="none" w:sz="0" w:space="0" w:color="auto"/>
        <w:bottom w:val="none" w:sz="0" w:space="0" w:color="auto"/>
        <w:right w:val="none" w:sz="0" w:space="0" w:color="auto"/>
      </w:divBdr>
    </w:div>
    <w:div w:id="20675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Quinn, Matthew</cp:lastModifiedBy>
  <cp:revision>2</cp:revision>
  <cp:lastPrinted>2019-08-22T00:34:00Z</cp:lastPrinted>
  <dcterms:created xsi:type="dcterms:W3CDTF">2019-08-27T00:13:00Z</dcterms:created>
  <dcterms:modified xsi:type="dcterms:W3CDTF">2019-08-27T00:13:00Z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1168ed19-9e36-4b36-9664-cd14412f289a</vt:lpwstr>
  </property>
  <property fmtid="{D5CDD505-2E9C-101B-9397-08002B2CF9AE}" pid="3" name="SEC">
    <vt:lpwstr>UNCLASSIFIED</vt:lpwstr>
  </property>
  <property fmtid="{D5CDD505-2E9C-101B-9397-08002B2CF9AE}" pid="4" name="DLM">
    <vt:lpwstr>No DLM</vt:lpwstr>
  </property>
</Properties>
</file>